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6C60" w14:textId="77777777" w:rsidR="00000000" w:rsidRDefault="00265147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6778AAE7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A466" w14:textId="77777777" w:rsidR="00000000" w:rsidRDefault="00265147">
            <w:pPr>
              <w:rPr>
                <w:rFonts w:eastAsia="Times New Roman"/>
                <w:color w:val="000000"/>
              </w:rPr>
            </w:pPr>
          </w:p>
        </w:tc>
      </w:tr>
    </w:tbl>
    <w:p w14:paraId="1B41558F" w14:textId="77777777" w:rsidR="00000000" w:rsidRDefault="0026514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115"/>
        <w:gridCol w:w="180"/>
        <w:gridCol w:w="821"/>
        <w:gridCol w:w="180"/>
        <w:gridCol w:w="4560"/>
      </w:tblGrid>
      <w:tr w:rsidR="00000000" w14:paraId="0329A1F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C092B" w14:textId="77777777" w:rsidR="00000000" w:rsidRDefault="002651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895A2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1279D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7F54269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7DBE5" w14:textId="77777777" w:rsidR="00000000" w:rsidRDefault="002651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BC57F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479DE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5D05142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97341" w14:textId="77777777" w:rsidR="00000000" w:rsidRDefault="002651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75CF4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5DC67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318E7E7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26FD0" w14:textId="77777777" w:rsidR="00000000" w:rsidRDefault="002651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84405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65C45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3E11176C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73676" w14:textId="77777777" w:rsidR="00000000" w:rsidRDefault="002651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434C690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C59CF" w14:textId="77777777" w:rsidR="00000000" w:rsidRDefault="00265147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E304B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F7BC6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C1C32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265A7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2C069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 Олексiй Володимирович</w:t>
            </w:r>
          </w:p>
        </w:tc>
      </w:tr>
      <w:tr w:rsidR="00000000" w14:paraId="3C5E51B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59571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30BD6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9C6EB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0E55C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BD8E9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D17FF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0971257C" w14:textId="77777777" w:rsidR="00000000" w:rsidRDefault="00265147">
      <w:pPr>
        <w:rPr>
          <w:rFonts w:eastAsia="Times New Roman"/>
          <w:color w:val="000000"/>
        </w:rPr>
      </w:pPr>
    </w:p>
    <w:p w14:paraId="54B7B746" w14:textId="77777777" w:rsidR="00000000" w:rsidRDefault="0026514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26FEDF3C" w14:textId="77777777" w:rsidR="00000000" w:rsidRDefault="0026514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5535252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6BC5E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5AC946D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E7206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СIЛЬСЬКОГОСПОДАРСЬКЕ ПIДПРИЄМСТВО "ЧОРНОМОРСЬКА ПЕРЛИНА"</w:t>
            </w:r>
          </w:p>
        </w:tc>
      </w:tr>
      <w:tr w:rsidR="00000000" w14:paraId="6C6C7BB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081B2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>Організаційно-правова форма</w:t>
            </w:r>
          </w:p>
        </w:tc>
      </w:tr>
      <w:tr w:rsidR="00000000" w14:paraId="618144A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293EA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 w14:paraId="5B49387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3DA44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33E25EE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3927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68162, Одеська обл., село Базар'янка, вулиця Шевченка, будинок № 37</w:t>
            </w:r>
          </w:p>
        </w:tc>
      </w:tr>
      <w:tr w:rsidR="00000000" w14:paraId="176D3B4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0175E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5901597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6F8BD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00413446</w:t>
            </w:r>
          </w:p>
        </w:tc>
      </w:tr>
      <w:tr w:rsidR="00000000" w14:paraId="5FE9A6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28FF6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5CD84A8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F4AE0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(04844) 3-25-51 (048) 777-37-30</w:t>
            </w:r>
          </w:p>
        </w:tc>
      </w:tr>
      <w:tr w:rsidR="00000000" w14:paraId="19CCE3F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F8D4E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6FC1102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36E73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perlina@te.net.ua</w:t>
            </w:r>
          </w:p>
        </w:tc>
      </w:tr>
      <w:tr w:rsidR="00000000" w14:paraId="21A38D5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6D62E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1DF5181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1E1EE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</w:t>
            </w:r>
            <w:r>
              <w:rPr>
                <w:rFonts w:eastAsia="Times New Roman"/>
                <w:color w:val="000000"/>
              </w:rPr>
              <w:t>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3AC62B7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9FFC6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0D65E49E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E5A95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190036C0" w14:textId="77777777" w:rsidR="00000000" w:rsidRDefault="00265147">
      <w:pPr>
        <w:rPr>
          <w:rFonts w:eastAsia="Times New Roman"/>
          <w:color w:val="000000"/>
        </w:rPr>
      </w:pPr>
    </w:p>
    <w:p w14:paraId="384123D1" w14:textId="77777777" w:rsidR="00000000" w:rsidRDefault="0026514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597"/>
        <w:gridCol w:w="180"/>
        <w:gridCol w:w="620"/>
      </w:tblGrid>
      <w:tr w:rsidR="00000000" w14:paraId="4534F5F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7C804" w14:textId="77777777" w:rsidR="00000000" w:rsidRDefault="002651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>
              <w:rPr>
                <w:rFonts w:eastAsia="Times New Roman"/>
                <w:color w:val="000000"/>
              </w:rPr>
              <w:t>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1190B" w14:textId="77777777" w:rsidR="00000000" w:rsidRDefault="002651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AA1CC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DF10B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328448A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D86DC" w14:textId="77777777" w:rsidR="00000000" w:rsidRDefault="002651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B763F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41DEF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D4BDE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17E43A0A" w14:textId="77777777" w:rsidR="00000000" w:rsidRDefault="0026514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29933F6A" w14:textId="77777777" w:rsidR="00000000" w:rsidRDefault="0026514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968"/>
        <w:gridCol w:w="2968"/>
        <w:gridCol w:w="3710"/>
        <w:gridCol w:w="4452"/>
      </w:tblGrid>
      <w:tr w:rsidR="00000000" w14:paraId="10C15C1D" w14:textId="77777777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49EAD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80C2C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7A5BC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E0E84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FA31D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</w:t>
            </w:r>
            <w:r>
              <w:rPr>
                <w:rFonts w:eastAsia="Times New Roman"/>
                <w:b/>
                <w:bCs/>
                <w:color w:val="000000"/>
              </w:rPr>
              <w:t>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 w14:paraId="19DB7749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79070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CF29B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3D696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C0DC2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8C070" w14:textId="77777777" w:rsidR="00000000" w:rsidRDefault="002651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 w14:paraId="63E442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BE2E5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C2796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76867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D191F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446229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9B511" w14:textId="77777777" w:rsidR="00000000" w:rsidRDefault="002651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</w:t>
            </w:r>
          </w:p>
        </w:tc>
      </w:tr>
      <w:tr w:rsidR="00000000" w14:paraId="429F091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D0754" w14:textId="77777777" w:rsidR="00000000" w:rsidRDefault="002651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2874C85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BAC10" w14:textId="77777777" w:rsidR="00000000" w:rsidRDefault="0026514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сiчня 2020 року рiшенням позачергових загальних зборiв акцiонерiв ПУБЛIЧНОГО АКЦIОНЕРНОГО ТОВАРИСТВА СIЛЬСЬКОГОСПОДАРСЬКЕ ПIДПРИЄМСТВО "ЧОРНОМОРСЬКА ПЕРЛИНА" (Протокол №1/2020 вiд 25.01.2020р.) (надалi – ПАТ СП "ЧОРНОМОРСЬКА ПЕРЛИНА"), було прийнято рiш</w:t>
            </w:r>
            <w:r>
              <w:rPr>
                <w:rFonts w:eastAsia="Times New Roman"/>
                <w:color w:val="000000"/>
              </w:rPr>
              <w:t>ення про попереднє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Вiдомостi щодо правочинiв iз зазначенням, зокрема, їх характеру: Попередньо надати згоду та схвалити значнi правочини (на пiдставi ч. 3 ст. 70 Закону України «Про акцiонернi товариства»), якi</w:t>
            </w:r>
            <w:r>
              <w:rPr>
                <w:rFonts w:eastAsia="Times New Roman"/>
                <w:color w:val="000000"/>
              </w:rPr>
              <w:t xml:space="preserve"> вiднесенi до компетенцiї Загальних Зборiв акцiонерiв Товариства та будуть вчинятися Товариством у ходi його поточної господарської дiяльностi протягом 1 (одного) року з дня проведення цих Загальних зборiв акцiонерiв, якщо ринкова вартiсть майна або послуг</w:t>
            </w:r>
            <w:r>
              <w:rPr>
                <w:rFonts w:eastAsia="Times New Roman"/>
                <w:color w:val="000000"/>
              </w:rPr>
              <w:t xml:space="preserve">, що може бути предметом даних господарських правочинiв, бiльше 25% вартостi активiв Товариства за даними рiчної фiнансової звiтностi за 2019 рiк. </w:t>
            </w:r>
            <w:r>
              <w:rPr>
                <w:rFonts w:eastAsia="Times New Roman"/>
                <w:color w:val="000000"/>
              </w:rPr>
              <w:br/>
              <w:t>Характер правочинiв: договори застави, договори поруки, кредитнi договори в тому числi, але не обмежуючись т</w:t>
            </w:r>
            <w:r>
              <w:rPr>
                <w:rFonts w:eastAsia="Times New Roman"/>
                <w:color w:val="000000"/>
              </w:rPr>
              <w:t>а iншi договори з банкiвськими установами та iншими суб’єктами господарювання, якщо ринкова вартiсть майна або послуг, що може бути предметом даних господарських правочинiв, бiльше 25% вартостi активiв Товариства за даними рiчної фiнансової звiтностi за 20</w:t>
            </w:r>
            <w:r>
              <w:rPr>
                <w:rFonts w:eastAsia="Times New Roman"/>
                <w:color w:val="000000"/>
              </w:rPr>
              <w:t xml:space="preserve">19 рiк. Гранична сукупна вартiсть таких правочинiв не може перевищувати 250 % вартостi активiв Товариства за даними рiчної фiнансової звiтностi за 2019 рiк. </w:t>
            </w:r>
            <w:r>
              <w:rPr>
                <w:rFonts w:eastAsia="Times New Roman"/>
                <w:color w:val="000000"/>
              </w:rPr>
              <w:br/>
              <w:t>Гранична сукупнiсть вартостi правочинiв: 1 115 572 тис. грн.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</w:t>
            </w:r>
            <w:r>
              <w:rPr>
                <w:rFonts w:eastAsia="Times New Roman"/>
                <w:color w:val="000000"/>
              </w:rPr>
              <w:t>станньої рiчної фiнансової звiтностi: 446 229 тис. грн.</w:t>
            </w:r>
            <w:r>
              <w:rPr>
                <w:rFonts w:eastAsia="Times New Roman"/>
                <w:color w:val="000000"/>
              </w:rPr>
              <w:br/>
              <w:t>Спiввiдношення граничної сукупностi вартостi правочинiв до вартостi активiв емiтента за даними останньої рiчної фiнансової звiтностi (у вiдсотках): 250%.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акцiй: 24 438 98</w:t>
            </w:r>
            <w:r>
              <w:rPr>
                <w:rFonts w:eastAsia="Times New Roman"/>
                <w:color w:val="000000"/>
              </w:rPr>
              <w:t>9, кiлькiсть голосуючих акцiй, що зареєстрованi для участi у загальних зборах: 24 438 989, кiлькiсть голосуючих акцiй, що проголосували «за»: 24 438 989 та «проти»: 0 прийняття рiшення.</w:t>
            </w:r>
          </w:p>
        </w:tc>
      </w:tr>
    </w:tbl>
    <w:p w14:paraId="2335917C" w14:textId="77777777" w:rsidR="00265147" w:rsidRDefault="00265147">
      <w:pPr>
        <w:rPr>
          <w:rFonts w:eastAsia="Times New Roman"/>
        </w:rPr>
      </w:pPr>
    </w:p>
    <w:sectPr w:rsidR="0026514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F"/>
    <w:rsid w:val="00265147"/>
    <w:rsid w:val="004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5020"/>
  <w15:chartTrackingRefBased/>
  <w15:docId w15:val="{C26AABAA-0F4A-47E1-A7BC-C0F3896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2</cp:revision>
  <dcterms:created xsi:type="dcterms:W3CDTF">2020-01-27T16:42:00Z</dcterms:created>
  <dcterms:modified xsi:type="dcterms:W3CDTF">2020-01-27T16:42:00Z</dcterms:modified>
</cp:coreProperties>
</file>